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20"/>
      </w:pPr>
      <w:r>
        <w:rPr>
          <w:b/>
          <w:bCs/>
          <w:sz w:val="30"/>
          <w:szCs w:val="30"/>
        </w:rPr>
        <w:t xml:space="preserve">Podnět Kontrolnímu výboru Zastupitelstva města Humpolce</w:t>
      </w:r>
    </w:p>
    <w:p>
      <w:pPr>
        <w:spacing w:after="80" w:line="276"/>
      </w:pPr>
      <w:r>
        <w:rPr>
          <w:i/>
          <w:iCs/>
          <w:color w:val="555555"/>
          <w:sz w:val="19"/>
          <w:szCs w:val="19"/>
        </w:rPr>
        <w:t xml:space="preserve">Poznámka k použití: Podává se prostřednictvím podatelny Městského úřadu Humpolec nebo datovou schránkou města. Podnět se vědomě omezuje pouze na samostatnou působnost, protože podle § 119 odst. 3 zákona o obcích kontrolní výbor kontroluje plnění usnesení zastupitelstva a rady a dodržování právních předpisů na úseku samostatné působnosti. Postup pořizovatele a dotčených orgánů do jeho pravomoci nespadá a je předmětem samostatného podnětu krajskému úřadu.</w:t>
      </w:r>
    </w:p>
    <w:p>
      <w:pPr>
        <w:pBdr>
          <w:bottom w:val="single" w:color="999999" w:sz="6" w:space="8"/>
        </w:pBdr>
        <w:spacing w:after="200" w:line="276"/>
      </w:pPr>
      <w:r>
        <w:rPr>
          <w:sz w:val="22"/>
          <w:szCs w:val="22"/>
        </w:rPr>
        <w:t xml:space="preserve"/>
      </w:r>
    </w:p>
    <w:p>
      <w:pPr>
        <w:spacing w:after="260" w:line="276"/>
      </w:pPr>
      <w:r>
        <w:rPr>
          <w:b/>
          <w:bCs/>
          <w:sz w:val="22"/>
          <w:szCs w:val="22"/>
        </w:rPr>
        <w:t xml:space="preserve">Adresát: Kontrolní výbor Zastupitelstva města Humpolce, prostřednictvím podatelny Městského úřadu Humpolec, Horní náměstí 300, 396 22 Humpolec</w:t>
      </w:r>
    </w:p>
    <w:p>
      <w:pPr>
        <w:spacing w:after="260" w:line="276"/>
      </w:pPr>
      <w:r>
        <w:rPr>
          <w:b/>
          <w:bCs/>
          <w:sz w:val="22"/>
          <w:szCs w:val="22"/>
        </w:rPr>
        <w:t xml:space="preserve">Věc: Podnět k prověření postupu Rady města a podkladů pro rozhodnutí Zastupitelstva města ze dne 26. 8. 2026 o ukončení pořizování nového Územního plánu Humpolec</w:t>
      </w:r>
    </w:p>
    <w:p>
      <w:pPr>
        <w:spacing w:after="160" w:line="276"/>
      </w:pPr>
      <w:r>
        <w:rPr>
          <w:sz w:val="22"/>
          <w:szCs w:val="22"/>
        </w:rPr>
        <w:t xml:space="preserve">Vážené členky, vážení členové Kontrolního výboru,</w:t>
      </w:r>
    </w:p>
    <w:p>
      <w:pPr>
        <w:spacing w:after="160" w:line="276"/>
      </w:pPr>
      <w:r>
        <w:rPr>
          <w:sz w:val="22"/>
          <w:szCs w:val="22"/>
        </w:rPr>
        <w:t xml:space="preserve">jako občan města Humpolce podávám podnět k prověření postupu orgánů města v samostatné působnosti v souvislosti s pořizováním nového Územního plánu Humpolec, jehož pořizování bylo usnesením Zastupitelstva města ze dne 26. srpna 2026 ukončeno.</w:t>
      </w:r>
    </w:p>
    <w:p>
      <w:pPr>
        <w:spacing w:after="160" w:line="276"/>
      </w:pPr>
      <w:r>
        <w:rPr>
          <w:sz w:val="22"/>
          <w:szCs w:val="22"/>
        </w:rPr>
        <w:t xml:space="preserve">Podnět se výslovně netýká postupu pořizovatele ani dotčených orgánů. Ti vykonávají svou působnost přenesenou, jejíž kontrola náleží krajskému úřadu, nikoli Kontrolnímu výboru.</w:t>
      </w:r>
    </w:p>
    <w:p>
      <w:pPr>
        <w:spacing w:after="160" w:line="276"/>
      </w:pPr>
      <w:r>
        <w:rPr>
          <w:b/>
          <w:bCs/>
          <w:sz w:val="22"/>
          <w:szCs w:val="22"/>
        </w:rPr>
        <w:t xml:space="preserve">Žádám Kontrolní výbor, aby v rozsahu své působnosti podle § 119 odst. 3 zákona č. 128/2000 Sb., o obcích, prověřil:</w:t>
      </w:r>
    </w:p>
    <w:p>
      <w:pPr>
        <w:pStyle w:val="ListParagraph"/>
        <w:numPr>
          <w:ilvl w:val="0"/>
          <w:numId w:val="2"/>
        </w:numPr>
        <w:spacing w:after="160" w:line="276"/>
      </w:pPr>
      <w:r>
        <w:rPr>
          <w:sz w:val="22"/>
          <w:szCs w:val="22"/>
        </w:rPr>
        <w:t xml:space="preserve">Jakým způsobem Rada města průběžně kontrolovala plnění smlouvy o dílo se zpracovatelem územního plánu, zejména zda a kdy projednávala dílčí výstupy, jak posuzovala jejich soulad se zadáním a jak kontrolovala účelnost a hospodárnost vynakládaných prostředků.</w:t>
      </w:r>
    </w:p>
    <w:p>
      <w:pPr>
        <w:pStyle w:val="ListParagraph"/>
        <w:numPr>
          <w:ilvl w:val="0"/>
          <w:numId w:val="2"/>
        </w:numPr>
        <w:spacing w:after="160" w:line="276"/>
      </w:pPr>
      <w:r>
        <w:rPr>
          <w:sz w:val="22"/>
          <w:szCs w:val="22"/>
        </w:rPr>
        <w:t xml:space="preserve">Kdy se Rada města poprvé dozvěděla o věcných či právních výhradách k návrhu územního plánu, z jakého zdroje, a jaká opatření na jejich základě přijala.</w:t>
      </w:r>
    </w:p>
    <w:p>
      <w:pPr>
        <w:pStyle w:val="ListParagraph"/>
        <w:numPr>
          <w:ilvl w:val="0"/>
          <w:numId w:val="2"/>
        </w:numPr>
        <w:spacing w:after="160" w:line="276"/>
      </w:pPr>
      <w:r>
        <w:rPr>
          <w:sz w:val="22"/>
          <w:szCs w:val="22"/>
        </w:rPr>
        <w:t xml:space="preserve">Jaké konkrétní podklady byly zastupitelům předloženy k bodu o ukončení pořizování na zasedání dne 26. 8. 2026, zejména zda byl součástí podkladů rozbor ekonomických dopadů obou v úvahu přicházejících variant, tedy ukončení pořizování a jeho přerušení s vrácením dokumentace k přepracování.</w:t>
      </w:r>
    </w:p>
    <w:p>
      <w:pPr>
        <w:pStyle w:val="ListParagraph"/>
        <w:numPr>
          <w:ilvl w:val="0"/>
          <w:numId w:val="2"/>
        </w:numPr>
        <w:spacing w:after="160" w:line="276"/>
      </w:pPr>
      <w:r>
        <w:rPr>
          <w:sz w:val="22"/>
          <w:szCs w:val="22"/>
        </w:rPr>
        <w:t xml:space="preserve">Zda byla před hlasováním vyhodnocena možnost uplatnit u zhotovitele díla nároky z vadného plnění a jak zvolená varianta tuto možnost ovlivňuje.</w:t>
      </w:r>
    </w:p>
    <w:p>
      <w:pPr>
        <w:pStyle w:val="ListParagraph"/>
        <w:numPr>
          <w:ilvl w:val="0"/>
          <w:numId w:val="2"/>
        </w:numPr>
        <w:spacing w:after="160" w:line="276"/>
      </w:pPr>
      <w:r>
        <w:rPr>
          <w:sz w:val="22"/>
          <w:szCs w:val="22"/>
        </w:rPr>
        <w:t xml:space="preserve">Jaký je další postup města ve věci územního opatření o stavební uzávěře, jehož důvod ukončením pořizování odpadl, a ve věci návrhů na změnu dosavadního územního plánu, jejichž vyřízení bylo odloženo s odkazem na připravovaný nový územní plán.</w:t>
      </w:r>
    </w:p>
    <w:p>
      <w:pPr>
        <w:pStyle w:val="ListParagraph"/>
        <w:numPr>
          <w:ilvl w:val="0"/>
          <w:numId w:val="2"/>
        </w:numPr>
        <w:spacing w:after="260" w:line="276"/>
      </w:pPr>
      <w:r>
        <w:rPr>
          <w:sz w:val="22"/>
          <w:szCs w:val="22"/>
        </w:rPr>
        <w:t xml:space="preserve">Zpracování kontrolního závěru pro Zastupitelstvo města, včetně doporučení k dalšímu postupu.</w:t>
      </w:r>
    </w:p>
    <w:p>
      <w:pPr>
        <w:spacing w:after="160" w:line="276"/>
      </w:pPr>
      <w:r>
        <w:rPr>
          <w:sz w:val="22"/>
          <w:szCs w:val="22"/>
        </w:rPr>
        <w:t xml:space="preserve">Cílem podnětu není zpochybnit obsah přijatého usnesení, nýbrž prověřit, zda orgány města postupovaly při správě majetku obce informovaně a s péčí řádného hospodáře.</w:t>
      </w:r>
    </w:p>
    <w:p>
      <w:pPr>
        <w:spacing w:after="300" w:line="276"/>
      </w:pPr>
      <w:r>
        <w:rPr>
          <w:sz w:val="22"/>
          <w:szCs w:val="22"/>
        </w:rPr>
        <w:t xml:space="preserve">O zařazení tohoto podnětu na program jednání Kontrolního výboru a o jeho výsledku mě, prosím, písemně vyrozumějte.</w:t>
      </w:r>
    </w:p>
    <w:p>
      <w:pPr>
        <w:spacing w:after="400" w:line="276"/>
      </w:pPr>
      <w:r>
        <w:rPr>
          <w:sz w:val="22"/>
          <w:szCs w:val="22"/>
        </w:rPr>
        <w:t xml:space="preserve">V Humpolci dne [doplňte datum]</w:t>
      </w:r>
    </w:p>
    <w:p>
      <w:pPr>
        <w:spacing w:after="160" w:line="276"/>
      </w:pPr>
      <w:r>
        <w:rPr>
          <w:sz w:val="22"/>
          <w:szCs w:val="22"/>
        </w:rPr>
        <w:t xml:space="preserve">……………………………………………………</w:t>
      </w:r>
    </w:p>
    <w:p>
      <w:pPr>
        <w:spacing w:after="0" w:line="276"/>
      </w:pPr>
      <w:r>
        <w:rPr>
          <w:sz w:val="22"/>
          <w:szCs w:val="22"/>
        </w:rPr>
        <w:t xml:space="preserve">[Jméno a příjmení]</w:t>
      </w:r>
    </w:p>
    <w:p>
      <w:pPr>
        <w:spacing w:after="0" w:line="276"/>
      </w:pPr>
      <w:r>
        <w:rPr>
          <w:sz w:val="22"/>
          <w:szCs w:val="22"/>
        </w:rPr>
        <w:t xml:space="preserve">[Adresa trvalého pobytu]</w:t>
      </w:r>
    </w:p>
    <w:p>
      <w:pPr>
        <w:spacing w:after="0" w:line="276"/>
      </w:pPr>
      <w:r>
        <w:rPr>
          <w:sz w:val="22"/>
          <w:szCs w:val="22"/>
        </w:rPr>
        <w:t xml:space="preserve">[Datum narození]</w:t>
      </w:r>
    </w:p>
    <w:p>
      <w:pPr>
        <w:spacing w:after="300" w:line="276"/>
      </w:pPr>
      <w:r>
        <w:rPr>
          <w:sz w:val="22"/>
          <w:szCs w:val="22"/>
        </w:rPr>
        <w:t xml:space="preserve">[E-mail / ID datové schránky pro doručení odpovědi]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480" w:hanging="3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start"/>
      <w:pPr>
        <w:ind w:left="480" w:hanging="3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2026-08-30T06:43:05.644Z</dcterms:created>
  <dcterms:modified xsi:type="dcterms:W3CDTF">2026-08-30T06:43:05.644Z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