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20"/>
      </w:pPr>
      <w:r>
        <w:rPr>
          <w:b/>
          <w:bCs/>
          <w:sz w:val="30"/>
          <w:szCs w:val="30"/>
        </w:rPr>
        <w:t xml:space="preserve">Podnět Krajskému úřadu Kraje Vysočina k prověření výkonu přenesené působnosti</w:t>
      </w:r>
    </w:p>
    <w:p>
      <w:pPr>
        <w:spacing w:after="80" w:line="276"/>
      </w:pPr>
      <w:r>
        <w:rPr>
          <w:i/>
          <w:iCs/>
          <w:color w:val="555555"/>
          <w:sz w:val="19"/>
          <w:szCs w:val="19"/>
        </w:rPr>
        <w:t xml:space="preserve">Poznámka k použití: Podává se datovou schránkou nebo písemně Krajskému úřadu Kraje Vysočina. Krajský úřad vykonává podle § 129 zákona o obcích kontrolu výkonu přenesené působnosti svěřené orgánům obcí a je zároveň nadřízeným správním orgánem obecního úřadu obce s rozšířenou působností. Na podnět není právní nárok na zahájení řízení; požádáte-li o to výslovně, musí vám úřad podle § 42 správního řádu sdělit do 30 dnů, jak s podnětem naložil.</w:t>
      </w:r>
    </w:p>
    <w:p>
      <w:pPr>
        <w:pBdr>
          <w:bottom w:val="single" w:color="999999" w:sz="6" w:space="8"/>
        </w:pBdr>
        <w:spacing w:after="200" w:line="276"/>
      </w:pPr>
      <w:r>
        <w:rPr>
          <w:sz w:val="22"/>
          <w:szCs w:val="22"/>
        </w:rPr>
        <w:t xml:space="preserve"/>
      </w:r>
    </w:p>
    <w:p>
      <w:pPr>
        <w:spacing w:after="60" w:line="276"/>
      </w:pPr>
      <w:r>
        <w:rPr>
          <w:b/>
          <w:bCs/>
          <w:sz w:val="22"/>
          <w:szCs w:val="22"/>
        </w:rPr>
        <w:t xml:space="preserve">Adresát: Krajský úřad Kraje Vysočina, Žižkova 1882/57, 586 01 Jihlava</w:t>
      </w:r>
    </w:p>
    <w:p>
      <w:pPr>
        <w:spacing w:after="260" w:line="276"/>
      </w:pPr>
      <w:r>
        <w:rPr>
          <w:sz w:val="22"/>
          <w:szCs w:val="22"/>
        </w:rPr>
        <w:t xml:space="preserve">K rukám: odboru územního plánování a stavebního řádu; na vědomí odboru životního prostředí a zemědělství</w:t>
      </w:r>
    </w:p>
    <w:p>
      <w:pPr>
        <w:spacing w:after="260" w:line="276"/>
      </w:pPr>
      <w:r>
        <w:rPr>
          <w:b/>
          <w:bCs/>
          <w:sz w:val="22"/>
          <w:szCs w:val="22"/>
        </w:rPr>
        <w:t xml:space="preserve">Věc: Podnět k prověření postupu pořizovatele a dotčených orgánů při pořizování nového Územního plánu Humpolec</w:t>
      </w:r>
    </w:p>
    <w:p>
      <w:pPr>
        <w:spacing w:after="160" w:line="276"/>
      </w:pPr>
      <w:r>
        <w:rPr>
          <w:sz w:val="22"/>
          <w:szCs w:val="22"/>
        </w:rPr>
        <w:t xml:space="preserve">Vážení,</w:t>
      </w:r>
    </w:p>
    <w:p>
      <w:pPr>
        <w:spacing w:after="160" w:line="276"/>
      </w:pPr>
      <w:r>
        <w:rPr>
          <w:sz w:val="22"/>
          <w:szCs w:val="22"/>
        </w:rPr>
        <w:t xml:space="preserve">obracím se na Krajský úřad Kraje Vysočina jako na orgán vykonávající podle § 129 zákona č. 128/2000 Sb., o obcích, kontrolu výkonu přenesené působnosti svěřené orgánům obcí a jako na nadřízený správní orgán ve věcech územního plánování.</w:t>
      </w:r>
    </w:p>
    <w:p>
      <w:pPr>
        <w:spacing w:after="160" w:line="276"/>
      </w:pPr>
      <w:r>
        <w:rPr>
          <w:sz w:val="22"/>
          <w:szCs w:val="22"/>
        </w:rPr>
        <w:t xml:space="preserve">Pořizování nového Územního plánu Humpolec bylo usnesením Zastupitelstva města Humpolce ze dne 26. srpna 2026 ukončeno poté, co k návrhu postoupenému do veřejného projednání bylo uplatněno [doplňte počet] připomínek a námitek. Vůči návrhu byly opakovaně vzneseny výhrady spočívající zejména v absenci odůvodnění nezbytnosti a přiměřenosti navržených veřejně prospěšných staveb, v absenci ekonomické rozvahy jejich realizace a v omezeních vlastnických práv odůvodněných obecně, bez konkrétní lokalizace a popisu chráněných hodnot.</w:t>
      </w:r>
    </w:p>
    <w:p>
      <w:pPr>
        <w:spacing w:after="160" w:line="276"/>
      </w:pPr>
      <w:r>
        <w:rPr>
          <w:sz w:val="22"/>
          <w:szCs w:val="22"/>
        </w:rPr>
        <w:t xml:space="preserve">Vzhledem k tomu, že pořizovatel i dotčené orgány vykonávají svou působnost přenesenou, žádám o prověření následujícího:</w:t>
      </w:r>
    </w:p>
    <w:p>
      <w:pPr>
        <w:pStyle w:val="ListParagraph"/>
        <w:numPr>
          <w:ilvl w:val="0"/>
          <w:numId w:val="2"/>
        </w:numPr>
        <w:spacing w:after="160" w:line="276"/>
      </w:pPr>
      <w:r>
        <w:rPr>
          <w:sz w:val="22"/>
          <w:szCs w:val="22"/>
        </w:rPr>
        <w:t xml:space="preserve">Zda pořizovatel před postoupením návrhu do veřejného projednání provedl přezkoumání souladu návrhu s právními předpisy v rozsahu, který mu stavební zákon ukládá, a jakým dokumentem je tento přezkum ve spisu zachycen.</w:t>
      </w:r>
    </w:p>
    <w:p>
      <w:pPr>
        <w:pStyle w:val="ListParagraph"/>
        <w:numPr>
          <w:ilvl w:val="0"/>
          <w:numId w:val="2"/>
        </w:numPr>
        <w:spacing w:after="160" w:line="276"/>
      </w:pPr>
      <w:r>
        <w:rPr>
          <w:sz w:val="22"/>
          <w:szCs w:val="22"/>
        </w:rPr>
        <w:t xml:space="preserve">Jaká stanoviska uplatnily dotčené orgány ve fázi společného jednání, zejména orgán ochrany přírody a krajiny, a zda tato stanoviska obsahovala odůvodnění v rozsahu požadovaném § 149 ve spojení s § 68 odst. 3 správního řádu.</w:t>
      </w:r>
    </w:p>
    <w:p>
      <w:pPr>
        <w:pStyle w:val="ListParagraph"/>
        <w:numPr>
          <w:ilvl w:val="0"/>
          <w:numId w:val="2"/>
        </w:numPr>
        <w:spacing w:after="160" w:line="276"/>
      </w:pPr>
      <w:r>
        <w:rPr>
          <w:sz w:val="22"/>
          <w:szCs w:val="22"/>
        </w:rPr>
        <w:t xml:space="preserve">Zda pořizovatel uplatnil vůči zpracovateli požadavky na úpravu návrhu, v jakém rozsahu a s jakým výsledkem, a jak bylo naloženo s případnými rozpory mezi stanovisky dotčených orgánů a obsahem návrhu.</w:t>
      </w:r>
    </w:p>
    <w:p>
      <w:pPr>
        <w:pStyle w:val="ListParagraph"/>
        <w:numPr>
          <w:ilvl w:val="0"/>
          <w:numId w:val="2"/>
        </w:numPr>
        <w:spacing w:after="160" w:line="276"/>
      </w:pPr>
      <w:r>
        <w:rPr>
          <w:sz w:val="22"/>
          <w:szCs w:val="22"/>
        </w:rPr>
        <w:t xml:space="preserve">Zda byla omezení vlastnických práv navržená s odkazem na ochranu významných krajinných prvků podložena konkrétní identifikací a popisem těchto prvků v dokumentaci, tedy zda bylo vůbec objektivně možné provést test přiměřenosti zásahu podle ustálené judikatury Nejvyššího správního soudu.</w:t>
      </w:r>
    </w:p>
    <w:p>
      <w:pPr>
        <w:pStyle w:val="ListParagraph"/>
        <w:numPr>
          <w:ilvl w:val="0"/>
          <w:numId w:val="2"/>
        </w:numPr>
        <w:spacing w:after="260" w:line="276"/>
      </w:pPr>
      <w:r>
        <w:rPr>
          <w:sz w:val="22"/>
          <w:szCs w:val="22"/>
        </w:rPr>
        <w:t xml:space="preserve">Zda způsob, jakým byl pořizovatel v procesu organizačně a personálně zajištěn, umožňoval nezávislý výkon přenesené působnosti na politickém zadání orgánů města.</w:t>
      </w:r>
    </w:p>
    <w:p>
      <w:pPr>
        <w:spacing w:after="160" w:line="276"/>
      </w:pPr>
      <w:r>
        <w:rPr>
          <w:sz w:val="22"/>
          <w:szCs w:val="22"/>
        </w:rPr>
        <w:t xml:space="preserve">Podnět nesměřuje proti konkrétní úřední osobě. Jeho cílem je zjištění, zda byly zákonem stanovené kontrolní mechanismy v procesu skutečně uplatněny, neboť z veřejně dostupných zdrojů to zjistit nelze.</w:t>
      </w:r>
    </w:p>
    <w:p>
      <w:pPr>
        <w:spacing w:after="300" w:line="276"/>
      </w:pPr>
      <w:r>
        <w:rPr>
          <w:sz w:val="22"/>
          <w:szCs w:val="22"/>
        </w:rPr>
        <w:t xml:space="preserve">Podle § 42 zákona č. 500/2004 Sb., správní řád, žádám o sdělení, jak bylo s tímto podnětem naloženo, ve lhůtě 30 dnů od jeho doručení.</w:t>
      </w:r>
    </w:p>
    <w:p>
      <w:pPr>
        <w:spacing w:after="400" w:line="276"/>
      </w:pPr>
      <w:r>
        <w:rPr>
          <w:sz w:val="22"/>
          <w:szCs w:val="22"/>
        </w:rPr>
        <w:t xml:space="preserve">V Humpolci dne [doplňte datum]</w:t>
      </w:r>
    </w:p>
    <w:p>
      <w:pPr>
        <w:spacing w:after="160" w:line="276"/>
      </w:pPr>
      <w:r>
        <w:rPr>
          <w:sz w:val="22"/>
          <w:szCs w:val="22"/>
        </w:rPr>
        <w:t xml:space="preserve">……………………………………………………</w:t>
      </w:r>
    </w:p>
    <w:p>
      <w:pPr>
        <w:spacing w:after="0" w:line="276"/>
      </w:pPr>
      <w:r>
        <w:rPr>
          <w:sz w:val="22"/>
          <w:szCs w:val="22"/>
        </w:rPr>
        <w:t xml:space="preserve">[Jméno a příjmení]</w:t>
      </w:r>
    </w:p>
    <w:p>
      <w:pPr>
        <w:spacing w:after="0" w:line="276"/>
      </w:pPr>
      <w:r>
        <w:rPr>
          <w:sz w:val="22"/>
          <w:szCs w:val="22"/>
        </w:rPr>
        <w:t xml:space="preserve">[Adresa trvalého pobytu]</w:t>
      </w:r>
    </w:p>
    <w:p>
      <w:pPr>
        <w:spacing w:after="0" w:line="276"/>
      </w:pPr>
      <w:r>
        <w:rPr>
          <w:sz w:val="22"/>
          <w:szCs w:val="22"/>
        </w:rPr>
        <w:t xml:space="preserve">[Datum narození]</w:t>
      </w:r>
    </w:p>
    <w:p>
      <w:pPr>
        <w:spacing w:after="300" w:line="276"/>
      </w:pPr>
      <w:r>
        <w:rPr>
          <w:sz w:val="22"/>
          <w:szCs w:val="22"/>
        </w:rPr>
        <w:t xml:space="preserve">[E-mail / ID datové schránky pro doručení odpovědi]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48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2026-08-30T06:43:05.646Z</dcterms:created>
  <dcterms:modified xsi:type="dcterms:W3CDTF">2026-08-30T06:43:05.646Z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